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12 90 vom 21. August 2013</w:t>
      </w:r>
    </w:p>
    <w:p>
      <w:r>
        <w:t>VS Kantonsgericht, 2013-08-21, DE</w:t>
      </w:r>
    </w:p>
    <w:p>
      <w:r>
        <w:rPr>
          <w:b/>
        </w:rPr>
        <w:t xml:space="preserve">Quelle: </w:t>
      </w:r>
      <w:r>
        <w:t>https://mcp.opencaselaw.ch/entscheid/vs_gerichte_S2 12 90</w:t>
      </w:r>
    </w:p>
    <w:p>
      <w:r>
        <w:t>FR: VS_GERICHTE S2 12 90 du 21 août 2013</w:t>
      </w:r>
    </w:p>
    <w:p>
      <w:r>
        <w:t>IT: VS_GERICHTE S2 12 90 del 21 agosto 2013</w:t>
      </w:r>
    </w:p>
    <w:p>
      <w:pPr>
        <w:pStyle w:val="Heading2"/>
      </w:pPr>
      <w:r>
        <w:t>Regeste</w:t>
      </w:r>
    </w:p>
    <w:p>
      <w:r>
        <w:t>S2 12 90 URTEIL VOM 21. AUGUST 2013 Kantonsgericht Wallis Sozialversicherungsrechtliche Abteilung Besetzung: Dr. Lionel Seeberger, Präsident; Eve-Marie Dayer-Schmid und Thomas Brunner, Kantonsrichter/in; Petra Stoffel, Gerichtsschreiberin in Sachen X___________, Beschwerdeführer, vertreten durch Rechtsanwältin A___________ gegen Y___________ KRANKEN- UND UNFALLVERSICHERUNG, Beschwerdegegnerin (Kostengutsprache / Katheter) Beschwerde gegen den Einspracheentscheid vom 25. September 2012</w:t>
      </w:r>
    </w:p>
    <w:p>
      <w:pPr>
        <w:pStyle w:val="Heading2"/>
      </w:pPr>
      <w:r>
        <w:t>Erwägungen</w:t>
      </w:r>
    </w:p>
    <w:p>
      <w:r>
        <w:rPr>
          <w:b/>
        </w:rPr>
        <w:t>E. 2</w:t>
      </w:r>
    </w:p>
    <w:p>
      <w:r>
        <w:t>Streitig ist, ob die MiGeL für die Einmalblasenkatheters des Typs EasiCath der Firma B_________ einen Höchstvergütungsbetrag gemäss Positionsnummer 15.10.02.00.1 von Fr. 4.50 aufweist oder ob er sich bei gegebener Infektionsgefahr unter Positionsnummer 15.10.02.01.1 mit einem Höchstvergütungsbetrag von Fr. 6.75 subsu- mieren lässt. 3.1 Gemäss Art. 24 KVG übernimmt die obligatorische Krankenpfle- geversicherung die Kosten für die Leistungen gemäss den Artikeln 25 bis 31 des Bundesgesetzes über die Krankenversicherung vom 18. März 1994 (KVG) nach Massgabe der in den Artikeln 32 bis 34 KVG festgelegten Voraussetzungen. Dazu gehören die Kosten für die durch Ärzte und Ärztinnen erbrachten Leistungen, die der Diagnose oder Behandlung von Krankheiten und ihren Folgen dienen (Art. 25 Abs. 1 und Abs. 2 lit. a Ziff. 1 KVG). Diese Leistungen umfassen gemäss Art. 25 Abs. 2 lit. a KVG die von Ärzten durchgeführten Unter- suchungen, Behandlungen und Pflegemassnahmen; sie gelten ver- mutungsweise als wirksam, zweckmässig und wirtschaftlich (Art. 31 Abs. 1 KVG) und sind kostenvergütungspflichtig, sofern sie nicht in der vom Bundesrat respektive vom Eidgenössischen Departement des Innern (EDI) erstellten, abschliessenden Negativliste von der Leis- tungspflicht ausgenommen sind (BGE 136 V 84 E. 2.1, 125 V 21 E. 5b). 3.2 Die Übernahmepflicht umfasst sodann gemäss Art. 25 Abs. 2 lit. b KVG die ärztlich verordneten Analysen, Arzneimittel und die der Untersuchung oder Behandlung dienenden Mittel und Gegenstände. Hinsichtlich der Mittel und Gegenstände im Sinne von Art. 25 Abs. 2</w:t>
      </w:r>
    </w:p>
    <w:p>
      <w:r>
        <w:t>98 RVJ / ZWR 2014 lit. b KVG ist nebst den allgemeinen Voraussetzungen nach Art. 32 Abs. 1 KVG verlangt, dass sie auf der vom EDI gestützt auf Art. 52 Abs. 1 lit. a Ziff. 3 KVG und Art. 33 lit. e KVV erstellten Mittel- und Gegenstände-Liste (MiGeL; Art. 20a Abs. 1 KLV in Verbindung mit Anhang 2 zur KLV) aufgeführt sind, andernfalls keine obligatorische Leistungspflicht besteht (RKUV 2002 Nr. KV 196 S. 7, K 157/00 E. 3b/aa). Diese (Positiv-) Liste ist abschliessend (BGE 136 V 84 E. 2.2, 134 V 83 E. 4.1 mit Hinweisen); die darin aufgeführten Mittel und Gegenstände dürfen höchstens zu dem Betrag vergütet werden, der in der Liste für die entsprechende Art von Mitteln und Gegenstän- den angegeben ist (Art. 24 Abs. 1 KLV). Ist im Einzelfall zu prüfen, ob die Nichtaufnahme eines Gegenstands oder Mittels in die MiGeL vor Gesetz und Verfassung standhält, hat sich das Gericht praxisgemäss grösste Zurückhaltung aufzuerlegen (BGE 136 V 84 E. 2.2 S. 86 f.; RKUV 2002 Nr. KV 196 S. 7, K 157/00 E. 3c/bb mit weiteren Hinweisen; Urteil des Bundesgerichts K 101/03 vom 22. Juli 2004 E. 4.2). 4.1 Der Krankenversicherer subsumiert das vom Versicherten ver- wendeten Produkt EasiCath-Kather der Firma B_________ unter die MiGeL Positionsnummer 15.10.02.00.1. Der Beschwerdeführer wendet demgegenüber ein, aufgrund der erhöhten Infektionsgefahr seien die EasiCath-Katheter wie auch die SpeediCath-Katheter unter der MiGeL Positionsnummer 15.10.02.01.1 zu erfassen und daher sei der ganze Kostenbetrag von der Krankenkasse zu vergüten. Nicht strittig ist, dass die Ready-to-use-Einmalblasenkatheter Produkte der MiGeL Positionsnummer 1.10.02.01.1, wie etwa die SpeediCath- Katheter der Firma B_________, zu einem maximalen Stückpreis von Fr. 6.75 zurückzuerstatten sind. 4.2 Die kassenpflichtigen Mittel und Gegenstände gemäss Art. 25 Abs. 2 lit. b KVG in Anhang 2 KLV (MiGeL) sind nach Arten und Produktegruppen in einer abschliessenden Positivliste aufgezählt. Die MiGeL ist eine abschliessende Aufzählung der Mittel und Gegen- stände, die von den Versicherten direkt oder allenfalls unter Beizug von nicht-medizinischen Hilfspersonen angebracht und/oder verwen- det werden können. Gemäss Art. 24 Abs. 1 KLV werden die Mittel und Gegenstände höchstens zu dem Betrag vergütet, der in der Liste für die entsprechende Art von Mitteln und Gegenständen angegeben ist. Es gilt somit eine Festbetragsregelung (Art. 52 Abs. 1 lit. a Ziff. 3</w:t>
      </w:r>
    </w:p>
    <w:p>
      <w:r>
        <w:t>RVJ / ZWR 2014 99 KVG; Art. 24 Abs. 1 KLV; BGE 136 V 84 E. 2.3.1) im Sinne einer Höchstvergütung. Anspruch auf Kostenerstattung besteht nur für eine einfache und zweckmässige Ausführung. Wer ein teureres Produkt wählt, hat für die Kostendifferenz selber aufzukommen (Art. 24 Abs. 2 KLV; zum Ganzen: Gebhard Eugster, Krankenversicherung, in: Meyer [Hrsg.], Schweizerisches Bundesverwaltungsrecht [SBVR], Soziale Sicherheit, 2. Aufl. 2007, S. 606 ff. Rz. 626). In der Höchstvergütungs- betragsregelung liegt auch der Unterschied zur rechtlichen Situation in der Invalidenversicherung. 4.3 Gemäss Produktbeschreibung der Firma B_________ GmbH handelt es sich beim Produkt EasiCath um einen beschichteten Einmalkatheter mit gebogener Spitze für den intermittierenden Selbst- katheterismus. Die Firma ordnete - wie der Krankenversicherer richtig darlegt - ihren Typ der MiGeL Positionsnummer 15.10.02.00.1 zu. Dasselbe hat die Apotheke D_________ auf ihren Abrechnungen getan. Einher geht damit auch die Produktbeschreibung, die diesen Einmalblasenkatheter als beschichteten mit gebogener Spitze aufführt, weshalb die Zuordnung des Produktes EasiCath der Firma B_________ GmbH zur MiGeL Positionsnummer 15.10.02.00.1 und deren Abrechnung gemäss Maximalbetrag von Fr. 4.50 rechtens ist. Das Produkt EasiCath der Firma B_________ GmbH ist nämlich nicht wie die Katheter der Positionsnummern 15.10.02.01.1 in eine sterile Flüssigkeit eingebettet und als solcher kein Ready-to-use-Produkt. Dass der Versicherte solche Produkte bezieht und diese auch über die Positionsnummern 15.10.02.01.1 abgerechnet werden, geht aus den hinterlegten Abrechnungen ([Y___________]act. 1, 2, 8 und 10) zweifelsfrei hervor. Da diese Produkte gemäss Limitierung eine erhöhte Infektionsgefahr voraussetzen, erweisen sich die diesbe- züglichen Einwände des Beschwerdeführer nur in diesem Umfang als massgebend. Demgegenüber sind sie für die Zuordnung des Produkts EasiCath zur MiGeL Positionsnummer 15.10.02.00.1 irrelevant, da diesbezüglich keine Limitierung vorliegt. 4.4 Die MiGeL ist in Produktgruppen aufgeteilt und führt keine Marken auf. Dem Versicherten steht es daher frei, die in der MiGeL unter Positionsnummer 15.10.02.00.1 fallenden Marken frei auszu- wählen. Dass diese Marken unterschiedliche Preise für ihre Produkte erheben, ist dabei nicht ausgeschlossen. Gestützt auf die Festbe- tragsregelung darf aber für das Produkt der MiGeL Positionsnummer 15.10.02.00.1 nur der Stückpreis von Fr. 4.50 vergütet werden. Da der</w:t>
      </w:r>
    </w:p>
    <w:p>
      <w:r>
        <w:t>100 RVJ / ZWR 2014 Einmalblasenkatheter des Typs EasiCath teurer verkauft wird, geht die Kostendifferenz zu Lasten des Versicherten. Eine Austausch- befugnis kommt dabei nicht zu tragen. Insofern der Versicherte aufgrund der Infektionsgefahr auf ein Produkt der MiGeL Positions- nummer 15.10.02.01.1 angewiesen ist, wird dies entsprechend dieser Nummer vergütet. Inwiefern schliesslich - wie vom Beschwerdeführer behauptet - der Grundsatz der Wirksamkeit, Zweckmässigkeit und Wirtschaftlichkeit der in der Schweiz von Ärztinnen und Ärzten erbrachten Leistungen gemäss (Art. 32 Abs. 1 KVG) verletzt sein soll, ist nicht nachvoll- ziehbar. Diese wird gesetzlich vermutet (Art. 33 Abs. 1 KVG; Urteil des Bundesgerichtes 9C_224/2009 vom 11. September 2009 E. 1.1) und soweit der Versicherte ein Produkt der MiGeL Positionsnummer 15.10.02.01.1 benötigt, wird dieses auch zum Maximalbetrag von Fr. 6.75 ersetzt. 4.5 Nach dem Gesagten erweist sich der Einspracheentscheid der Y___________ als rechtens,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